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Vaccine Science - Module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Activity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Vaccine Associations and Pre-conceptions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Objective: Determine participant pre-conceptions of and familiarity with vaccine action, function, safety, etc.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Question prompt: </w:t>
      </w:r>
      <w:r w:rsidDel="00000000" w:rsidR="00000000" w:rsidRPr="00000000">
        <w:rPr>
          <w:i w:val="1"/>
          <w:rtl w:val="0"/>
        </w:rPr>
        <w:t xml:space="preserve">What scientific concepts, ideas and emotions are associated with the term “vaccine”?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Activity: Pose the question and collect responses. Process them and discuss with participants.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This activity is best conducted before watching the videos or using other module materials.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Responses may be written or oral, individual or group, spontaneous or pre-assigned.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It may be useful to construct a concept map, mind map or word cloud to show frequency, similarity or classification of the responses.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Participants may give personal responses that reflect their experiences and beliefs, or they may represent the beliefs of others (for example, the response “vaccines cause autism”)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Based on the type and frequency of responses, invite participants to follow up with clarifying statements and questions.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Introduce parts of the module or other modules in the series that might address their concerns and pre-conceptions. (For example, if there is a concern about vaccine safety, take time to address this in the module section devoted to testing and regulatory approval.)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